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31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EVROPSKÁ KOMISE, GENERÁLNÍ ŘEDITELSTVÍ PRO ZDRAVÍ A BEZPEČNOST POTRAVIN</w:t>
      </w:r>
    </w:p>
    <w:p w:rsidR="00A67526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526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EVROPSKÁ LÉKOVÁ AGENTURA</w:t>
      </w:r>
    </w:p>
    <w:p w:rsidR="00A67526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526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HMA (Vedoucí lékových agentur)</w:t>
      </w:r>
    </w:p>
    <w:p w:rsidR="00A67526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526" w:rsidRDefault="00A67526" w:rsidP="00D803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Říjen 2018</w:t>
      </w:r>
    </w:p>
    <w:p w:rsidR="00A67526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526" w:rsidRDefault="00A67526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526" w:rsidRDefault="00A67526" w:rsidP="007051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38A">
        <w:rPr>
          <w:rFonts w:ascii="Arial" w:hAnsi="Arial" w:cs="Arial"/>
          <w:b/>
          <w:sz w:val="24"/>
          <w:szCs w:val="24"/>
        </w:rPr>
        <w:t xml:space="preserve">DOPIS DOTČENÝM SUBJEKTŮM TÝKAJÍCÍ SE ZAVEDENÍ OCHRANNÝCH PRVKŮ PODLE SMĚRNICE O </w:t>
      </w:r>
      <w:r w:rsidR="009D4F3B" w:rsidRPr="00D8038A">
        <w:rPr>
          <w:rFonts w:ascii="Arial" w:hAnsi="Arial" w:cs="Arial"/>
          <w:b/>
          <w:sz w:val="24"/>
          <w:szCs w:val="24"/>
        </w:rPr>
        <w:t>PADĚLANÝCH LÉČIVECH 2011/62/EU</w:t>
      </w:r>
      <w:r w:rsidR="009D4F3B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:rsidR="009D4F3B" w:rsidRDefault="009D4F3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1E5" w:rsidRDefault="009D4F3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Klíčovým opatřením proti padělávání</w:t>
      </w:r>
      <w:r w:rsidR="00D8038A">
        <w:rPr>
          <w:rFonts w:ascii="Arial" w:hAnsi="Arial" w:cs="Arial"/>
          <w:sz w:val="24"/>
          <w:szCs w:val="24"/>
        </w:rPr>
        <w:t xml:space="preserve"> léčiv</w:t>
      </w:r>
      <w:r>
        <w:rPr>
          <w:rFonts w:ascii="Arial" w:hAnsi="Arial" w:cs="Arial"/>
          <w:sz w:val="24"/>
          <w:szCs w:val="24"/>
        </w:rPr>
        <w:t xml:space="preserve"> v EU a na ochranu zákonného dodavatelského řetězce léčivých přípravků je systém </w:t>
      </w:r>
      <w:r w:rsidR="00A15137">
        <w:rPr>
          <w:rFonts w:ascii="Arial" w:hAnsi="Arial" w:cs="Arial"/>
          <w:sz w:val="24"/>
          <w:szCs w:val="24"/>
        </w:rPr>
        <w:t>ucelené</w:t>
      </w:r>
      <w:r>
        <w:rPr>
          <w:rFonts w:ascii="Arial" w:hAnsi="Arial" w:cs="Arial"/>
          <w:sz w:val="24"/>
          <w:szCs w:val="24"/>
        </w:rPr>
        <w:t xml:space="preserve">ho (end-to-end) ověřování zavedený směrnicí o padělaných léčivech (FMD). </w:t>
      </w:r>
      <w:r w:rsidR="00A15137">
        <w:rPr>
          <w:rFonts w:ascii="Arial" w:hAnsi="Arial" w:cs="Arial"/>
          <w:sz w:val="24"/>
          <w:szCs w:val="24"/>
        </w:rPr>
        <w:t>Ucelené</w:t>
      </w:r>
      <w:r w:rsidR="007051E5">
        <w:rPr>
          <w:rFonts w:ascii="Arial" w:hAnsi="Arial" w:cs="Arial"/>
          <w:sz w:val="24"/>
          <w:szCs w:val="24"/>
        </w:rPr>
        <w:t xml:space="preserve"> ověřování je systém ověřování léčiv obsahující povinné ochranné prvky a úložiště, kde se uchovávají informace o každém jednotlivém balení.</w:t>
      </w:r>
    </w:p>
    <w:p w:rsidR="007051E5" w:rsidRDefault="007051E5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137" w:rsidRDefault="007051E5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Nová pravidla začnou platit v EU a EHP</w:t>
      </w:r>
      <w:r w:rsidR="00D8038A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 9. února 2019.</w:t>
      </w:r>
      <w:r>
        <w:rPr>
          <w:rStyle w:val="Znakapoznpodarou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Od tohoto data</w:t>
      </w:r>
      <w:r w:rsidR="00D8038A">
        <w:rPr>
          <w:rFonts w:ascii="Arial" w:hAnsi="Arial" w:cs="Arial"/>
          <w:sz w:val="24"/>
          <w:szCs w:val="24"/>
        </w:rPr>
        <w:t xml:space="preserve"> budou muset</w:t>
      </w:r>
      <w:r>
        <w:rPr>
          <w:rFonts w:ascii="Arial" w:hAnsi="Arial" w:cs="Arial"/>
          <w:sz w:val="24"/>
          <w:szCs w:val="24"/>
        </w:rPr>
        <w:t xml:space="preserve"> léky vydávané na lékařský předpis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umístěné na trhu EU nést jedinečný identifikátor (UI) a prostředek k ověření manipulace s obalem (ATD) v souladu se směrnicí o padělaných léčivech a </w:t>
      </w:r>
      <w:r w:rsidR="00D8038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nařízením Komise v přenesené pravomoci (EU) 2016/161.</w:t>
      </w:r>
      <w:r>
        <w:rPr>
          <w:rStyle w:val="Znakapoznpodarou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Systém úložišť, který dotčené subjekty v současné době vytvářejí a který je tvořen evropským </w:t>
      </w:r>
      <w:r w:rsidR="00A15137">
        <w:rPr>
          <w:rFonts w:ascii="Arial" w:hAnsi="Arial" w:cs="Arial"/>
          <w:sz w:val="24"/>
          <w:szCs w:val="24"/>
        </w:rPr>
        <w:t>centrálním úložištěm a vnitrostátními databázemi, bude muset být také v provozu k 9. únoru 2019.</w:t>
      </w:r>
    </w:p>
    <w:p w:rsidR="00A15137" w:rsidRDefault="00A15137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88E" w:rsidRDefault="00A15137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Držitelé registrace, výrobci, velkoobchodníci a subjekty dodávající léčivé přípravky veřejnosti budou muset skenovat léčivé přípravky v různých bodech dodavatelského řetězce, aby je zavedli</w:t>
      </w:r>
      <w:r w:rsidR="00D8038A">
        <w:rPr>
          <w:rFonts w:ascii="Arial" w:hAnsi="Arial" w:cs="Arial"/>
          <w:sz w:val="24"/>
          <w:szCs w:val="24"/>
        </w:rPr>
        <w:t xml:space="preserve"> (nahráli)</w:t>
      </w:r>
      <w:r>
        <w:rPr>
          <w:rFonts w:ascii="Arial" w:hAnsi="Arial" w:cs="Arial"/>
          <w:sz w:val="24"/>
          <w:szCs w:val="24"/>
        </w:rPr>
        <w:t xml:space="preserve"> do úložiště, ověřili jejich pravost a </w:t>
      </w:r>
      <w:r w:rsidR="00C7588E">
        <w:rPr>
          <w:rFonts w:ascii="Arial" w:hAnsi="Arial" w:cs="Arial"/>
          <w:sz w:val="24"/>
          <w:szCs w:val="24"/>
        </w:rPr>
        <w:t>vyřadili je z databáze v okamžiku výdeje. Další informací týkající se povinností každého aktéra v dodavatelském řetězci jsou uvedeny níže.</w:t>
      </w:r>
    </w:p>
    <w:p w:rsidR="00C7588E" w:rsidRDefault="00C7588E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88E" w:rsidRPr="00C7588E" w:rsidRDefault="00C7588E" w:rsidP="002D7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88E">
        <w:rPr>
          <w:rFonts w:ascii="Arial" w:hAnsi="Arial" w:cs="Arial"/>
          <w:b/>
          <w:sz w:val="24"/>
          <w:szCs w:val="24"/>
        </w:rPr>
        <w:t>Držitelé registrace</w:t>
      </w:r>
    </w:p>
    <w:p w:rsidR="00C7588E" w:rsidRDefault="00C7588E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4F3B" w:rsidRDefault="00C7588E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Držitelé registrace odpovídají za zajištění, že léčivé přípravky uváděné na trh v EU ponesou od 9. února 2019 bezpečnostní prvky (jedinečný identifikátor a prostředek k ověření manipulace s obalem). Informace o bezpečnostních prvcích mus</w:t>
      </w:r>
      <w:r w:rsidR="00D8038A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í být také uvedeny v žádosti o registraci. Doplnění bezpečnostních prvků na obaly již </w:t>
      </w:r>
      <w:r w:rsidR="00D8038A">
        <w:rPr>
          <w:rFonts w:ascii="Arial" w:hAnsi="Arial" w:cs="Arial"/>
          <w:sz w:val="24"/>
          <w:szCs w:val="24"/>
        </w:rPr>
        <w:t xml:space="preserve">dříve </w:t>
      </w:r>
      <w:r>
        <w:rPr>
          <w:rFonts w:ascii="Arial" w:hAnsi="Arial" w:cs="Arial"/>
          <w:sz w:val="24"/>
          <w:szCs w:val="24"/>
        </w:rPr>
        <w:t xml:space="preserve">registrovaných přípravků vyžaduje aktualizaci dokumentace k registraci léčivého </w:t>
      </w:r>
      <w:r>
        <w:rPr>
          <w:rFonts w:ascii="Arial" w:hAnsi="Arial" w:cs="Arial"/>
          <w:sz w:val="24"/>
          <w:szCs w:val="24"/>
        </w:rPr>
        <w:lastRenderedPageBreak/>
        <w:t>přípravku. Aby se snížily náklady, je možné zavést tuto změnu současně s jinou změnou.</w:t>
      </w:r>
      <w:r w:rsidR="009D4F3B">
        <w:rPr>
          <w:rFonts w:ascii="Arial" w:hAnsi="Arial" w:cs="Arial"/>
          <w:sz w:val="24"/>
          <w:szCs w:val="24"/>
        </w:rPr>
        <w:t xml:space="preserve"> </w:t>
      </w:r>
    </w:p>
    <w:p w:rsidR="00C7588E" w:rsidRDefault="00C7588E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88E" w:rsidRDefault="00C7588E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Držitelé registrace musejí také uzavřít smlouvy s vnitrostátními organizacemi pro ověřování</w:t>
      </w:r>
      <w:r w:rsidR="00D950FC">
        <w:rPr>
          <w:rFonts w:ascii="Arial" w:hAnsi="Arial" w:cs="Arial"/>
          <w:sz w:val="24"/>
          <w:szCs w:val="24"/>
        </w:rPr>
        <w:t xml:space="preserve"> léčiv (NMVO)</w:t>
      </w:r>
      <w:r w:rsidR="00D950FC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D950FC">
        <w:rPr>
          <w:rFonts w:ascii="Arial" w:hAnsi="Arial" w:cs="Arial"/>
          <w:sz w:val="24"/>
          <w:szCs w:val="24"/>
        </w:rPr>
        <w:t xml:space="preserve"> (které odpovídají za vytváření vnitrostátních úložišť) v členských státech, kde uvádějí své výrobky na trh. To jim nebo jejich výrobcům umožní</w:t>
      </w:r>
      <w:r>
        <w:rPr>
          <w:rFonts w:ascii="Arial" w:hAnsi="Arial" w:cs="Arial"/>
          <w:sz w:val="24"/>
          <w:szCs w:val="24"/>
        </w:rPr>
        <w:t xml:space="preserve"> </w:t>
      </w:r>
      <w:r w:rsidR="00D950FC">
        <w:rPr>
          <w:rFonts w:ascii="Arial" w:hAnsi="Arial" w:cs="Arial"/>
          <w:sz w:val="24"/>
          <w:szCs w:val="24"/>
        </w:rPr>
        <w:t>ukládat požadované údaje na jedinečný identifikátor v systému úložišť. Je nezbytné, aby se všichni dotčení držitelé registrace zaregistrova</w:t>
      </w:r>
      <w:r w:rsidR="00823497">
        <w:rPr>
          <w:rFonts w:ascii="Arial" w:hAnsi="Arial" w:cs="Arial"/>
          <w:sz w:val="24"/>
          <w:szCs w:val="24"/>
        </w:rPr>
        <w:t>li u NMVO, aby nedošlo k nahromadění žadatelů o registraci</w:t>
      </w:r>
      <w:r w:rsidR="00D950FC">
        <w:rPr>
          <w:rFonts w:ascii="Arial" w:hAnsi="Arial" w:cs="Arial"/>
          <w:sz w:val="24"/>
          <w:szCs w:val="24"/>
        </w:rPr>
        <w:t xml:space="preserve"> a aby byl zajištěn přístup na trh. Od držitelů registrace se v rámci smlouvy požaduje, aby platili NMVO stanovené poplatky</w:t>
      </w:r>
      <w:r w:rsidR="00D950FC">
        <w:rPr>
          <w:rStyle w:val="Znakapoznpodarou"/>
          <w:rFonts w:ascii="Arial" w:hAnsi="Arial" w:cs="Arial"/>
          <w:sz w:val="24"/>
          <w:szCs w:val="24"/>
        </w:rPr>
        <w:footnoteReference w:id="6"/>
      </w:r>
      <w:r w:rsidR="00D950F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950FC" w:rsidRDefault="00D950F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AFD" w:rsidRDefault="00D950F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Držitelé registrace se musejí také připojit (přistoupit) k Evropské organizaci</w:t>
      </w:r>
      <w:r w:rsidRPr="00D950FC">
        <w:rPr>
          <w:rFonts w:ascii="Arial" w:hAnsi="Arial" w:cs="Arial"/>
          <w:sz w:val="24"/>
          <w:szCs w:val="24"/>
        </w:rPr>
        <w:t xml:space="preserve"> pro ověřování léčivých přípravků</w:t>
      </w:r>
      <w:r>
        <w:rPr>
          <w:rFonts w:ascii="Arial" w:hAnsi="Arial" w:cs="Arial"/>
          <w:sz w:val="24"/>
          <w:szCs w:val="24"/>
        </w:rPr>
        <w:t xml:space="preserve"> (EMVO)</w:t>
      </w:r>
      <w:r>
        <w:rPr>
          <w:rStyle w:val="Znakapoznpodarou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. </w:t>
      </w:r>
      <w:r w:rsidR="004B1AFD">
        <w:rPr>
          <w:rFonts w:ascii="Arial" w:hAnsi="Arial" w:cs="Arial"/>
          <w:sz w:val="24"/>
          <w:szCs w:val="24"/>
        </w:rPr>
        <w:t>Přistoupení k EMVO umožňuje centrální uložení dat jedinečných identifikátorů prostřednictvím evropského úložiště a je spojeno s jednorázovým poplatkem.</w:t>
      </w:r>
    </w:p>
    <w:p w:rsidR="004B1AFD" w:rsidRDefault="004B1AFD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0FC" w:rsidRDefault="004B1AFD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Polovina držitelů registrace již postup připojování k EMVO zahájila. Je nezbytné, aby všichni držitelé registrace předložili své přihlášky NMVO a EMVO včas, a zajistili tak splnění této povinnosti do 9. února 2019. </w:t>
      </w:r>
    </w:p>
    <w:p w:rsidR="004B1AFD" w:rsidRDefault="004B1AFD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AFD" w:rsidRPr="004B1AFD" w:rsidRDefault="004B1AFD" w:rsidP="002D7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1AFD">
        <w:rPr>
          <w:rFonts w:ascii="Arial" w:hAnsi="Arial" w:cs="Arial"/>
          <w:b/>
          <w:sz w:val="24"/>
          <w:szCs w:val="24"/>
        </w:rPr>
        <w:t>Držitelé povolení k výrobě a dovozu</w:t>
      </w:r>
    </w:p>
    <w:p w:rsidR="004B1AFD" w:rsidRDefault="004B1AFD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CEB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Výrobci, včetně souběžných dovozců, musejí aktualizovat své výrobní linky tak, aby zajistili, že na </w:t>
      </w:r>
      <w:r w:rsidR="001347A5">
        <w:rPr>
          <w:rFonts w:ascii="Arial" w:hAnsi="Arial" w:cs="Arial"/>
          <w:sz w:val="24"/>
          <w:szCs w:val="24"/>
        </w:rPr>
        <w:t>léčivé příprav</w:t>
      </w:r>
      <w:r>
        <w:rPr>
          <w:rFonts w:ascii="Arial" w:hAnsi="Arial" w:cs="Arial"/>
          <w:sz w:val="24"/>
          <w:szCs w:val="24"/>
        </w:rPr>
        <w:t>ky uvolňované k prodeji nebo distribuci budou od 9. února 2019 umísťovány jedinečné identifikátory a prostředky k ověření manipulace s obalem. Od uvedeného data musejí výrobci vést záznamy o operacích, které uskutečňují s jedinečnými identifikátory, a společně s držiteli registrace muse</w:t>
      </w:r>
      <w:r w:rsidR="001347A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í zajistit nahrávání údajů jedinečných identifikátorů prostřednictvím evropského úložiště.</w:t>
      </w:r>
    </w:p>
    <w:p w:rsidR="00460CEB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CEB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Výrobci musejí být připraveni umísťovat bezpečnostní prvky na své výrobky a nahrávat jedinečné identifikátory nejpozději k 9. únoru 2019.</w:t>
      </w:r>
    </w:p>
    <w:p w:rsidR="00460CEB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CEB" w:rsidRPr="00460CEB" w:rsidRDefault="00460CEB" w:rsidP="002D7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0CEB">
        <w:rPr>
          <w:rFonts w:ascii="Arial" w:hAnsi="Arial" w:cs="Arial"/>
          <w:b/>
          <w:sz w:val="24"/>
          <w:szCs w:val="24"/>
        </w:rPr>
        <w:t>Velkoobchodní distributoři (držitelé oprávnění k distribuci)</w:t>
      </w:r>
    </w:p>
    <w:p w:rsidR="004B1AFD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0A31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Velkoobchodní distributoři, včetně souběžných distributorů, musejí aktualizovat své počítačové systémy tak, aby se mohli připojit k národním úložištím za účelem ověřování a vyřazování jedinečných identifikátorů od 9. února 2019.</w:t>
      </w:r>
    </w:p>
    <w:p w:rsidR="00460CEB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CEB" w:rsidRDefault="00460CEB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Ověřování pravosti jedinečných identifikátorů se požaduje u všech </w:t>
      </w:r>
      <w:r w:rsidR="001347A5">
        <w:rPr>
          <w:rFonts w:ascii="Arial" w:hAnsi="Arial" w:cs="Arial"/>
          <w:sz w:val="24"/>
          <w:szCs w:val="24"/>
        </w:rPr>
        <w:t>léčivých příprav</w:t>
      </w:r>
      <w:r>
        <w:rPr>
          <w:rFonts w:ascii="Arial" w:hAnsi="Arial" w:cs="Arial"/>
          <w:sz w:val="24"/>
          <w:szCs w:val="24"/>
        </w:rPr>
        <w:t>ků přijatých od velkoobchodníků, kteří nejsou držiteli registrace, výrobci nebo subjekty pověřenými držitelem registrace. Jakékoli léčivé přípravky</w:t>
      </w:r>
      <w:r w:rsidR="001347A5">
        <w:rPr>
          <w:rFonts w:ascii="Arial" w:hAnsi="Arial" w:cs="Arial"/>
          <w:sz w:val="24"/>
          <w:szCs w:val="24"/>
        </w:rPr>
        <w:t xml:space="preserve"> vrácené lékárnami nebo jiným velkoobchodníkem musejí být také ověřeny. Velkoobchodníci musejí být připraveni vyřadit jedinečný identifikátor přípravků, které chtějí vyvézt mimo Evropský </w:t>
      </w:r>
      <w:r w:rsidR="001347A5">
        <w:rPr>
          <w:rFonts w:ascii="Arial" w:hAnsi="Arial" w:cs="Arial"/>
          <w:sz w:val="24"/>
          <w:szCs w:val="24"/>
        </w:rPr>
        <w:lastRenderedPageBreak/>
        <w:t>hospodářský prostor, nebo, za určitých okolností, jménem osob dodávajících léčivé přípravky veřejnosti.</w:t>
      </w:r>
      <w:r w:rsidR="001347A5">
        <w:rPr>
          <w:rStyle w:val="Znakapoznpodarou"/>
          <w:rFonts w:ascii="Arial" w:hAnsi="Arial" w:cs="Arial"/>
          <w:sz w:val="24"/>
          <w:szCs w:val="24"/>
        </w:rPr>
        <w:footnoteReference w:id="8"/>
      </w:r>
    </w:p>
    <w:p w:rsidR="00BD0271" w:rsidRDefault="00BD0271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271" w:rsidRPr="00BD0271" w:rsidRDefault="00BD0271" w:rsidP="002D7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271">
        <w:rPr>
          <w:rFonts w:ascii="Arial" w:hAnsi="Arial" w:cs="Arial"/>
          <w:b/>
          <w:sz w:val="24"/>
          <w:szCs w:val="24"/>
        </w:rPr>
        <w:t>Osoby pověřené nebo oprávněné dodávat léčivé přípravky veřejnosti</w:t>
      </w:r>
    </w:p>
    <w:p w:rsidR="00BD0271" w:rsidRDefault="00BD0271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271" w:rsidRDefault="007A5F7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Komunitní lékárny, lékárny v nemocnicích a zd</w:t>
      </w:r>
      <w:r w:rsidR="00D8038A">
        <w:rPr>
          <w:rFonts w:ascii="Arial" w:hAnsi="Arial" w:cs="Arial"/>
          <w:sz w:val="24"/>
          <w:szCs w:val="24"/>
        </w:rPr>
        <w:t>ravotnická za</w:t>
      </w:r>
      <w:r w:rsidR="008B1D73">
        <w:rPr>
          <w:rFonts w:ascii="Arial" w:hAnsi="Arial" w:cs="Arial"/>
          <w:sz w:val="24"/>
          <w:szCs w:val="24"/>
        </w:rPr>
        <w:t>řízení</w:t>
      </w:r>
      <w:r>
        <w:rPr>
          <w:rFonts w:ascii="Arial" w:hAnsi="Arial" w:cs="Arial"/>
          <w:sz w:val="24"/>
          <w:szCs w:val="24"/>
        </w:rPr>
        <w:t xml:space="preserve"> mají kriticky důležitou úlohu při zajišťování pravosti léčivých přípravků dodávaných pacientům. V době vydání (komunitní lékárny) nebo po přijetí léčivých přípravků (lékárny v nemocnicích </w:t>
      </w:r>
      <w:r w:rsidR="008B1D73">
        <w:rPr>
          <w:rFonts w:ascii="Arial" w:hAnsi="Arial" w:cs="Arial"/>
          <w:sz w:val="24"/>
          <w:szCs w:val="24"/>
        </w:rPr>
        <w:t>nebo zdravotnická zařízení</w:t>
      </w:r>
      <w:r>
        <w:rPr>
          <w:rFonts w:ascii="Arial" w:hAnsi="Arial" w:cs="Arial"/>
          <w:sz w:val="24"/>
          <w:szCs w:val="24"/>
        </w:rPr>
        <w:t>) musejí ověřit bezpečnostní prvky a vyřadit jedinečný identifikátor</w:t>
      </w:r>
      <w:r>
        <w:rPr>
          <w:rStyle w:val="Znakapoznpodarou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>.</w:t>
      </w:r>
      <w:r w:rsidR="00BD0271">
        <w:rPr>
          <w:rFonts w:ascii="Arial" w:hAnsi="Arial" w:cs="Arial"/>
          <w:sz w:val="24"/>
          <w:szCs w:val="24"/>
        </w:rPr>
        <w:t xml:space="preserve"> </w:t>
      </w:r>
    </w:p>
    <w:p w:rsidR="00180A31" w:rsidRDefault="00180A31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F7C" w:rsidRDefault="007A5F7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Ověřování bezpečnostních prvků a vyřazování jedinečných identifikátorů bude vyžadovat nákup skenerů, které budou číst jedinečný identifikátor</w:t>
      </w:r>
      <w:r w:rsidR="00D8038A">
        <w:rPr>
          <w:rFonts w:ascii="Arial" w:hAnsi="Arial" w:cs="Arial"/>
          <w:sz w:val="24"/>
          <w:szCs w:val="24"/>
        </w:rPr>
        <w:t>, a aktualizaci</w:t>
      </w:r>
      <w:r>
        <w:rPr>
          <w:rFonts w:ascii="Arial" w:hAnsi="Arial" w:cs="Arial"/>
          <w:sz w:val="24"/>
          <w:szCs w:val="24"/>
        </w:rPr>
        <w:t xml:space="preserve"> softwar</w:t>
      </w:r>
      <w:r w:rsidR="00D8038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pro připojení k systému úložišť. Protože lékárnami v nemocnicích prochází velké objemy léčivých přípravků, budou také muset zajistit, že budou schopné od 9. února 2019 rychle a účinně kontrolovat jednotlivá balení.</w:t>
      </w:r>
    </w:p>
    <w:p w:rsidR="007A5F7C" w:rsidRDefault="007A5F7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F7C" w:rsidRDefault="007A5F7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Lékárny nebudou smět vydávat léčivé přípravky s bezpečnostními prvky, jestliže nebudou moci ověřit a vyřadit jedinečné identifikátory, a musejí mít dostatek času na přípravu na 9. únor 2019.</w:t>
      </w:r>
    </w:p>
    <w:p w:rsidR="007A5F7C" w:rsidRDefault="007A5F7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F7C" w:rsidRPr="007A5F7C" w:rsidRDefault="007A5F7C" w:rsidP="002D7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5F7C">
        <w:rPr>
          <w:rFonts w:ascii="Arial" w:hAnsi="Arial" w:cs="Arial"/>
          <w:b/>
          <w:sz w:val="24"/>
          <w:szCs w:val="24"/>
        </w:rPr>
        <w:t>Poskytovatelé softwaru</w:t>
      </w:r>
    </w:p>
    <w:p w:rsidR="007A5F7C" w:rsidRDefault="007A5F7C" w:rsidP="002D7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F7C" w:rsidRDefault="007A5F7C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Poskytovatelé softwaru hrají významnou úlohu při aktualizaci počítačových systémů používaných komunitními lékárnami, lékárnami v nemocnicích, zdravotnickými </w:t>
      </w:r>
      <w:r w:rsidR="008B1D73">
        <w:rPr>
          <w:rFonts w:ascii="Arial" w:hAnsi="Arial" w:cs="Arial"/>
          <w:sz w:val="24"/>
          <w:szCs w:val="24"/>
        </w:rPr>
        <w:t>zařízeními a jinými aktéry v dodavatelském řetězci. Systémy musejí být schopné provozu do 9. února 2019 a musí být naplánován dostatek času na</w:t>
      </w:r>
      <w:r w:rsidR="00D8038A">
        <w:rPr>
          <w:rFonts w:ascii="Arial" w:hAnsi="Arial" w:cs="Arial"/>
          <w:sz w:val="24"/>
          <w:szCs w:val="24"/>
        </w:rPr>
        <w:t xml:space="preserve"> jejich</w:t>
      </w:r>
      <w:r w:rsidR="008B1D73">
        <w:rPr>
          <w:rFonts w:ascii="Arial" w:hAnsi="Arial" w:cs="Arial"/>
          <w:sz w:val="24"/>
          <w:szCs w:val="24"/>
        </w:rPr>
        <w:t xml:space="preserve"> testování a pilotní nasazení.</w:t>
      </w:r>
    </w:p>
    <w:p w:rsidR="007A5F7C" w:rsidRDefault="007A5F7C" w:rsidP="007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F7C" w:rsidRPr="007A5F7C" w:rsidRDefault="007A5F7C" w:rsidP="007A5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5F7C">
        <w:rPr>
          <w:rFonts w:ascii="Arial" w:hAnsi="Arial" w:cs="Arial"/>
          <w:b/>
          <w:sz w:val="24"/>
          <w:szCs w:val="24"/>
        </w:rPr>
        <w:t>Zákonné povinnosti a sankce</w:t>
      </w:r>
    </w:p>
    <w:p w:rsidR="007A5F7C" w:rsidRDefault="007A5F7C" w:rsidP="007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73" w:rsidRDefault="00D8038A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B1D73">
        <w:rPr>
          <w:rFonts w:ascii="Arial" w:hAnsi="Arial" w:cs="Arial"/>
          <w:sz w:val="24"/>
          <w:szCs w:val="24"/>
        </w:rPr>
        <w:t>měrnice o padělaných léčivých přípravcích a nařízení Komise v přenesené pravomoci</w:t>
      </w:r>
      <w:r>
        <w:rPr>
          <w:rFonts w:ascii="Arial" w:hAnsi="Arial" w:cs="Arial"/>
          <w:sz w:val="24"/>
          <w:szCs w:val="24"/>
        </w:rPr>
        <w:t xml:space="preserve"> počítá</w:t>
      </w:r>
      <w:r w:rsidR="008B1D73">
        <w:rPr>
          <w:rFonts w:ascii="Arial" w:hAnsi="Arial" w:cs="Arial"/>
          <w:sz w:val="24"/>
          <w:szCs w:val="24"/>
        </w:rPr>
        <w:t xml:space="preserve"> se zákonnými povinnostmi, které se uplatňují od 9. února 2019</w:t>
      </w:r>
      <w:r>
        <w:rPr>
          <w:rFonts w:ascii="Arial" w:hAnsi="Arial" w:cs="Arial"/>
          <w:sz w:val="24"/>
          <w:szCs w:val="24"/>
        </w:rPr>
        <w:t xml:space="preserve"> a jejichž cílem je ochrana pacientů</w:t>
      </w:r>
      <w:r w:rsidR="008B1D73">
        <w:rPr>
          <w:rFonts w:ascii="Arial" w:hAnsi="Arial" w:cs="Arial"/>
          <w:sz w:val="24"/>
          <w:szCs w:val="24"/>
        </w:rPr>
        <w:t>. Nesplnění výše uvedených požadavků představuje</w:t>
      </w:r>
      <w:r>
        <w:rPr>
          <w:rFonts w:ascii="Arial" w:hAnsi="Arial" w:cs="Arial"/>
          <w:sz w:val="24"/>
          <w:szCs w:val="24"/>
        </w:rPr>
        <w:t xml:space="preserve"> porušení práva EU. Takové poruš</w:t>
      </w:r>
      <w:r w:rsidR="008B1D73">
        <w:rPr>
          <w:rFonts w:ascii="Arial" w:hAnsi="Arial" w:cs="Arial"/>
          <w:sz w:val="24"/>
          <w:szCs w:val="24"/>
        </w:rPr>
        <w:t>ení se trestá pokutami podle zákonů a předpisů členského státu.</w:t>
      </w:r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důležité, aby všechny dotčené subjekty jednaly neprodleně a zajistily tak splnění nových pravidel, dokud je ještě dostatek času na přípravu.</w:t>
      </w:r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F7C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/podpis/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/podpis/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/podpis/ </w:t>
      </w:r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</w:t>
      </w:r>
      <w:proofErr w:type="spellStart"/>
      <w:r>
        <w:rPr>
          <w:rFonts w:ascii="Arial" w:hAnsi="Arial" w:cs="Arial"/>
          <w:sz w:val="24"/>
          <w:szCs w:val="24"/>
        </w:rPr>
        <w:t>Bucher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Guido Rasi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Senderovitz</w:t>
      </w:r>
      <w:proofErr w:type="spellEnd"/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General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Executive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HMA Management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Group</w:t>
      </w:r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generální ředitelka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výkonný ředitel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Skupiny vedoucích</w:t>
      </w:r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lékových agentur</w:t>
      </w:r>
    </w:p>
    <w:p w:rsidR="008B1D73" w:rsidRDefault="008B1D73" w:rsidP="007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GŘ zdraví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bezpeč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Evropská</w:t>
      </w:r>
      <w:proofErr w:type="gramEnd"/>
      <w:r>
        <w:rPr>
          <w:rFonts w:ascii="Arial" w:hAnsi="Arial" w:cs="Arial"/>
          <w:sz w:val="24"/>
          <w:szCs w:val="24"/>
        </w:rPr>
        <w:t xml:space="preserve"> léková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jménem Vedoucích lékových</w:t>
      </w:r>
    </w:p>
    <w:p w:rsidR="00180A31" w:rsidRPr="002D7E1E" w:rsidRDefault="008B1D73" w:rsidP="002D7E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nost</w:t>
      </w:r>
      <w:proofErr w:type="spellEnd"/>
      <w:r>
        <w:rPr>
          <w:rFonts w:ascii="Arial" w:hAnsi="Arial" w:cs="Arial"/>
          <w:sz w:val="24"/>
          <w:szCs w:val="24"/>
        </w:rPr>
        <w:t xml:space="preserve"> potravin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agentura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agentur</w:t>
      </w:r>
    </w:p>
    <w:sectPr w:rsidR="00180A31" w:rsidRPr="002D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910" w:rsidRDefault="00064910" w:rsidP="009D4F3B">
      <w:pPr>
        <w:spacing w:after="0" w:line="240" w:lineRule="auto"/>
      </w:pPr>
      <w:r>
        <w:separator/>
      </w:r>
    </w:p>
  </w:endnote>
  <w:endnote w:type="continuationSeparator" w:id="0">
    <w:p w:rsidR="00064910" w:rsidRDefault="00064910" w:rsidP="009D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910" w:rsidRDefault="00064910" w:rsidP="009D4F3B">
      <w:pPr>
        <w:spacing w:after="0" w:line="240" w:lineRule="auto"/>
      </w:pPr>
      <w:r>
        <w:separator/>
      </w:r>
    </w:p>
  </w:footnote>
  <w:footnote w:type="continuationSeparator" w:id="0">
    <w:p w:rsidR="00064910" w:rsidRDefault="00064910" w:rsidP="009D4F3B">
      <w:pPr>
        <w:spacing w:after="0" w:line="240" w:lineRule="auto"/>
      </w:pPr>
      <w:r>
        <w:continuationSeparator/>
      </w:r>
    </w:p>
  </w:footnote>
  <w:footnote w:id="1">
    <w:p w:rsidR="009D4F3B" w:rsidRDefault="009D4F3B">
      <w:pPr>
        <w:pStyle w:val="Textpoznpodarou"/>
      </w:pPr>
      <w:r>
        <w:rPr>
          <w:rStyle w:val="Znakapoznpodarou"/>
        </w:rPr>
        <w:footnoteRef/>
      </w:r>
      <w:r>
        <w:t xml:space="preserve"> Směrnice 2011/62/EU Evropského parlamentu a Rady ze dne 8. června 2011, kterou se mění </w:t>
      </w:r>
      <w:r w:rsidRPr="009D4F3B">
        <w:t>směrnice</w:t>
      </w:r>
      <w:r>
        <w:t xml:space="preserve"> </w:t>
      </w:r>
      <w:r w:rsidRPr="009D4F3B">
        <w:t>2001/83/ES o kodexu Společenství týkajícím se humánních léčivých</w:t>
      </w:r>
      <w:r>
        <w:t xml:space="preserve"> </w:t>
      </w:r>
      <w:r w:rsidRPr="009D4F3B">
        <w:t>p</w:t>
      </w:r>
      <w:r>
        <w:t xml:space="preserve">řípravků, pokud jde o zabránění vstupu padělaných léčivých přípravků do legálního dodavatelského řetězce (Úřední věstník L 174, 1. 7. 2011, s. 74). </w:t>
      </w:r>
    </w:p>
  </w:footnote>
  <w:footnote w:id="2">
    <w:p w:rsidR="007051E5" w:rsidRDefault="007051E5">
      <w:pPr>
        <w:pStyle w:val="Textpoznpodarou"/>
      </w:pPr>
      <w:r>
        <w:rPr>
          <w:rStyle w:val="Znakapoznpodarou"/>
        </w:rPr>
        <w:footnoteRef/>
      </w:r>
      <w:r>
        <w:t xml:space="preserve"> Článek 50 nařízení Komise v přenesené pravomoci (EU) 2016/161. Upozorňujeme, že Řecko a Itálie mají výhodu dalšího šestiletého přechodného období a budou muset zavést nová pravidla od 9. února 2025. </w:t>
      </w:r>
    </w:p>
  </w:footnote>
  <w:footnote w:id="3">
    <w:p w:rsidR="007051E5" w:rsidRDefault="007051E5">
      <w:pPr>
        <w:pStyle w:val="Textpoznpodarou"/>
      </w:pPr>
      <w:r>
        <w:rPr>
          <w:rStyle w:val="Znakapoznpodarou"/>
        </w:rPr>
        <w:footnoteRef/>
      </w:r>
      <w:r>
        <w:t xml:space="preserve"> Pokud nejsou výslovně vyňaty (uvedeny v „bílém seznamu“).</w:t>
      </w:r>
    </w:p>
  </w:footnote>
  <w:footnote w:id="4">
    <w:p w:rsidR="007051E5" w:rsidRDefault="007051E5">
      <w:pPr>
        <w:pStyle w:val="Textpoznpodarou"/>
      </w:pPr>
      <w:r>
        <w:rPr>
          <w:rStyle w:val="Znakapoznpodarou"/>
        </w:rPr>
        <w:footnoteRef/>
      </w:r>
      <w:r>
        <w:t xml:space="preserve"> Nařízení Komise v přenesené pravomoci (EU) 2016/161 ze dne 2. října 2015 doplňující směrnici 2001/83/ES Evropského parlamentu a Rady </w:t>
      </w:r>
      <w:r w:rsidR="00260F42">
        <w:t>stanovením podrobných pravidel pro ochranné prvky uvedené na obalu humánních léčivých přípravků (Úřední věstník L 32, 9. 2. 2016, s. 1)</w:t>
      </w:r>
      <w:r w:rsidR="00D8038A">
        <w:t>.</w:t>
      </w:r>
    </w:p>
  </w:footnote>
  <w:footnote w:id="5">
    <w:p w:rsidR="00D950FC" w:rsidRDefault="00D950FC">
      <w:pPr>
        <w:pStyle w:val="Textpoznpodarou"/>
      </w:pPr>
      <w:r>
        <w:rPr>
          <w:rStyle w:val="Znakapoznpodarou"/>
        </w:rPr>
        <w:footnoteRef/>
      </w:r>
      <w:r>
        <w:t xml:space="preserve"> https://emvo-medicines.eu/mission/emvs//countries</w:t>
      </w:r>
    </w:p>
  </w:footnote>
  <w:footnote w:id="6">
    <w:p w:rsidR="00D950FC" w:rsidRDefault="00D950FC">
      <w:pPr>
        <w:pStyle w:val="Textpoznpodarou"/>
      </w:pPr>
      <w:r>
        <w:rPr>
          <w:rStyle w:val="Znakapoznpodarou"/>
        </w:rPr>
        <w:footnoteRef/>
      </w:r>
      <w:r>
        <w:t xml:space="preserve"> Článek </w:t>
      </w:r>
      <w:proofErr w:type="gramStart"/>
      <w:r>
        <w:t>54a</w:t>
      </w:r>
      <w:proofErr w:type="gramEnd"/>
      <w:r>
        <w:t xml:space="preserve"> odst. 2 písm. e) směrnice 2001/83/ES a článek 31 nařízení Komise v přenesené pravomoci (EU) 2016/161</w:t>
      </w:r>
    </w:p>
  </w:footnote>
  <w:footnote w:id="7">
    <w:p w:rsidR="00D950FC" w:rsidRDefault="00D950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B48A4">
        <w:t>https://emvo-medicines.eu/</w:t>
      </w:r>
    </w:p>
  </w:footnote>
  <w:footnote w:id="8">
    <w:p w:rsidR="001347A5" w:rsidRDefault="001347A5">
      <w:pPr>
        <w:pStyle w:val="Textpoznpodarou"/>
      </w:pPr>
      <w:r>
        <w:rPr>
          <w:rStyle w:val="Znakapoznpodarou"/>
        </w:rPr>
        <w:footnoteRef/>
      </w:r>
      <w:r>
        <w:t xml:space="preserve"> Viz kapitola V nařízení Komise v přenesené pravomoci (EU) 2016/161</w:t>
      </w:r>
    </w:p>
  </w:footnote>
  <w:footnote w:id="9">
    <w:p w:rsidR="007A5F7C" w:rsidRDefault="007A5F7C">
      <w:pPr>
        <w:pStyle w:val="Textpoznpodarou"/>
      </w:pPr>
      <w:r>
        <w:rPr>
          <w:rStyle w:val="Znakapoznpodarou"/>
        </w:rPr>
        <w:footnoteRef/>
      </w:r>
      <w:r>
        <w:t xml:space="preserve"> Viz kapitola VI nařízení Komise v přenesené pravomoci (EU) 2016/161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BB"/>
    <w:rsid w:val="000152F5"/>
    <w:rsid w:val="0003337B"/>
    <w:rsid w:val="00064910"/>
    <w:rsid w:val="001347A5"/>
    <w:rsid w:val="00180A31"/>
    <w:rsid w:val="00260F42"/>
    <w:rsid w:val="002D7E1E"/>
    <w:rsid w:val="004220FA"/>
    <w:rsid w:val="00460CEB"/>
    <w:rsid w:val="004B1AFD"/>
    <w:rsid w:val="006748BB"/>
    <w:rsid w:val="007051E5"/>
    <w:rsid w:val="007A5F7C"/>
    <w:rsid w:val="008179A9"/>
    <w:rsid w:val="00823497"/>
    <w:rsid w:val="00862D8F"/>
    <w:rsid w:val="008B1D73"/>
    <w:rsid w:val="009B48A4"/>
    <w:rsid w:val="009D09B4"/>
    <w:rsid w:val="009D4F3B"/>
    <w:rsid w:val="009F0A88"/>
    <w:rsid w:val="00A15137"/>
    <w:rsid w:val="00A67526"/>
    <w:rsid w:val="00BD0271"/>
    <w:rsid w:val="00C7588E"/>
    <w:rsid w:val="00CA10E0"/>
    <w:rsid w:val="00D8038A"/>
    <w:rsid w:val="00D950FC"/>
    <w:rsid w:val="00E261E1"/>
    <w:rsid w:val="00F208F4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9DE1-6D43-C249-A6E1-8DCE557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48B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F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F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4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\Desktop\nov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FF91-9D0C-CD40-8C64-5A48FB21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C:\Users\DE\Desktop\novy.dotx</Template>
  <TotalTime>0</TotalTime>
  <Pages>3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Pavlína Štisová | NOOL / CZMVO</cp:lastModifiedBy>
  <cp:revision>2</cp:revision>
  <dcterms:created xsi:type="dcterms:W3CDTF">2018-10-24T13:30:00Z</dcterms:created>
  <dcterms:modified xsi:type="dcterms:W3CDTF">2018-10-24T13:30:00Z</dcterms:modified>
</cp:coreProperties>
</file>